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281 vom 16. April 2025</w:t>
      </w:r>
    </w:p>
    <w:p>
      <w:r>
        <w:t>BL Gerichte, 2025-04-16, DE</w:t>
      </w:r>
    </w:p>
    <w:p>
      <w:r>
        <w:rPr>
          <w:b/>
        </w:rPr>
        <w:t xml:space="preserve">Quelle: </w:t>
      </w:r>
      <w:r>
        <w:t>https://mcp.opencaselaw.ch/entscheid/bl_gerichte_810 2024 281</w:t>
      </w:r>
    </w:p>
    <w:p>
      <w:r>
        <w:t>FR: BL_GERICHTE 810 2024 281 du 16 avril 2025</w:t>
      </w:r>
    </w:p>
    <w:p>
      <w:r>
        <w:t>IT: BL_GERICHTE 810 2024 281 del 16 aprile 2025</w:t>
      </w:r>
    </w:p>
    <w:p>
      <w:pPr>
        <w:pStyle w:val="Heading2"/>
      </w:pPr>
      <w:r>
        <w:t>Regeste</w:t>
      </w:r>
    </w:p>
    <w:p>
      <w:r>
        <w:t>Wiederzulassung zum Strassenverkehr</w:t>
      </w:r>
    </w:p>
    <w:p>
      <w:pPr>
        <w:pStyle w:val="Heading2"/>
      </w:pPr>
      <w:r>
        <w:t>Erwägungen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Regierungsrat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des vorliegenden Verfahrens bildet die Frage, ob die Polizei und die Vorinstanz die vom Beschwerdeführer beantragte Wiederzulassung zum Strassenverkehr zu Recht abgelehnt haben. 4.1 Vorab ist zu prüfen, ob die Polizei Basel-Landschaft überhaupt zuständig und berechtigt war, über die Wiederzulassung des Beschwerdeführers zum Strassenverkehr auf dessen Gesuch hin eine Verfügung zu erlassen. 4.2 Gemäss der bundesgerichtlichen Rechtsprechung bleibt im Falle eines Wohnsitzwechsels des Fahrzeugführers während des Adminstrativverfahrens auf Entzug des Führerausweises die bei dessen Einleitung begründete örtliche Zuständigkeit bestehen. Als massgeblicher Zeitpunkt gilt derjenige, in dem die für den Entzug an sich zuständige Behörde der betroffenen Person Gelegenheit gibt, die Akten einzusehen und sich mündlich oder schriftlich zu der in Aussicht genommenen Massnahme zu äussern. Entscheidend ist dabei, dass die Behörde durch ihre Verfahrensführung klar zu erkennen gibt, sich für das Verfahren örtlich als zuständig zu erachten. Sofern die von der Behörde in Anspruch genommene Zuständigkeit im fraglichen Zeitpunkt den objektiven Umständen und den entsprechenden rechtlichen Vorgaben entspricht, soll diese Zuständigkeit nicht allein wegen eines Wohnsitzwechsels der von einer allfälligen Massnahme betroffenen Person verändert werden. Vielmehr gilt sie grundsätzlich als bis zum Verfahrensabschluss verfestigt (vgl. statt vieler Urteil des Bundesgerichts 1C_223/2024 vom 10. Oktober 2024 E. 3.2 m.w.H.). Massgebend für die Fixierung der örtlichen Zuständigkeit ist somit die Eröffnung des Verfahrens ( Philippe Weissenberger , Kommentar Strassenverkehrsgesetz und Ordnungsbussengesetz, 2. Aufl., Zürich/St. Gallen 2015, N 8 zu Art. 22). 4.3 Mit seiner Beschwerde an das Kantonsgericht vom 7. Dezember 2024 reichte der Beschwerdeführer unter dem Hinweis ʺinformativ, Aktenstandortʺ eine Verfügung der 1. Kammer des Verwaltungsgerichtes des Kantons Aargau vom 27. November 2024 ein. Aus dieser Verfügung ist ersichtlich, dass der Beschwerdeführer gegen den Entscheid des Departements Volkswirtschaft und Inneres vom 30. September 2024 Beschwerde erhoben hat und damit die Verfügung des StVA AG vom 21. Juli 2023 betreffend den Sicherungsentzug des Führerausweises auf unbestimmte Zeit nicht in Rechtskraft erwachsen ist. Damit ist unter Verweisung auf die hiervor zitierte bundesgerichtliche Rechtsprechung erstellt, dass für das Administrativverfahren betreffend den Sicherungsentzug des Führerausweises des Beschwerdeführers nach wie vor und ausschliesslich der Kanton Aargau zuständig ist. 4.4 Diese Ausgangslage bedeutet umgekehrt, dass die Polizei Basel-Landschaft weder zuständig noch befugt war, über das Gesuch um Wiederzulassung zum Strassenverkehr des Beschwerdeführers zu entscheiden. Es ergibt sich bereits aus dem Wortlaut ʺWiederzulassungʺ, dass eine solche nur möglich ist, wenn davor ein rechtskräftiger Entzug des Führerausweises stattgefunden hat. Auch die Lehre weist darauf hin, dass Art. 17 des Strassenverkehrsgesetzes (SVG) vom 19. Dezember 1958 betreffend die Wiedererteilung des Führerausweises nur anwendbar ist, wenn ein ordentlicher Führerausweisentzug rechtskräftig verfügt worden ist ( Weissenberger , a.a.O., N 1 f. zu Art. 17). 4.5 Sowohl aus der Vernehmlassung der Vorinstanz als auch aus der polizeilichen Verfügung vom 7. August 2024 wird ersichtlich, dass die Polizei und der Regierungsrat fälschlicherweise davon ausgingen, dass die Verfügung des StVA AG vom 21. Juli 2023 (vgl. Sachverhalt lit. A hiervor) in Rechtskraft erwachsen sei. Deshalb beantragt die Vorinstanz in ihrer Vernehmlassung die Prüfung einer Verfahrenssistierung bis zum Vorliegen eines rechtskräftigen Entscheides über den definitiven Sicherungsentzug aus dem Kanton Aargau. Eine solche Verfahrenssistierung kommt vorliegend aber nicht in Frage, weil diesfalls das Kantonsgericht erstmalig überhaupt auf der Grundlage des dannzumal rechtskräftigen aargauischen Administrativmassnahmenentscheids ein Urteil fällen müsste. Dadurch würde der Beschwerdeführer der Durchlaufung der beiden Vorinstanzen beraubt, was eine unheilbare Verletzung seines Anspruchs auf rechtliches Gehör zur Folge hätte. Dies gilt umso mehr, weil der Polizei beim Erlass der angefochtenen Verfügung nicht klar war und auch nicht klar sein konnte, ob, und falls ja, welche rechtskräftig festgelegten Voraussetzungen aus Sicht der zuständigen Verfügungsbehörde für eine Wiederzulassung nötig wären. 4.6 Mit Schreiben vom 12. Juli 2024 an den Beschwerdeführer stellte die Polizei fest, dass das Beschwerdeverfahren gegen den Sicherungsentzug des Führerausweises des StVA AG (Verfügung vom 21. Juli 2023) noch nicht abgeschlossen ist. Aus nicht weiter nachvollziehbaren Gründen ging sie in der Folge offensichtlich trotzdem davon aus, dass die besagte Verfügung in Rechtskraft erwachsen sei. Es rechtfertig sich deshalb der Vollständigkeit halber, auf die Frage nach einer allfälligen Nichtigkeit der angefochtenen Verfügung einzugehen. Bei der Abgrenzung zwischen blosser Anfechtbarkeit und Nichtigkeit einer Verfügung folgt die Rechtsprechung der so genannten Evidenztheorie ( Ulrich Häfelin / Georg Müller / Felix Uhlmann , Allgemeines Verwaltungsrecht, 8. Aufl., Zürich/St. Gallen 2020, Rz. 1098). Die örtliche Unzuständigkeit der verfügenden Behörde ist in der Regel kein Nichtigkeitsgrund ( Häfelin / Müller / Uhlmann , a.a.O., Rz. 1103 m.w.H.). Ob die angefochtene Verfügung nichtig ist, braucht vorliegend nicht abschliessend entschieden zu werden, da sie aufgrund des Devolutiveffekts mit dem vorliegenden Entscheid ohnehin aufgehoben ist ( Häfelin / Müller / Uhlmann , a.a.O., Rz. 1168 f. m.w.H.).</w:t>
      </w:r>
    </w:p>
    <w:p>
      <w:r>
        <w:rPr>
          <w:b/>
        </w:rPr>
        <w:t>E. 5</w:t>
      </w:r>
    </w:p>
    <w:p>
      <w:r>
        <w:t>Nach dem Gesagten ist zusammengefasst festzuhalten, dass in Gutheissung der Beschwerde – soweit darauf eingetreten werden kann – der Beschluss des Regierungsrats Nr. 1633 vom 26. November 2024 aufzuheben ist. Der Vollständigkeit halber beziehungsweise unter Berücksichtigung, dass es sich vorliegend um eine Laienbeschwerde handelt, ist schliesslich darauf hinzuweisen, dass die vorliegende Gutheissung der Beschwerde nicht die Wiederzulassung des Beschwerdeführers zum Strassenverkehr bewirkt, sondern lediglich den angefochtenen vorinstanzlichen Entscheid aufhebt. Für den Entscheid über den Sicherungsentzug des Führerausweises ist dagegen der Kanton Aargau zuständig, in welchem das entsprechende Verfahren soweit ersichtlich noch nicht rechtskräftig abgeschlossen ist. 6.1. 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Ausgangsgemäss sind die Verfahrenskosten in der Höhe von Fr. 1'500.-- dem Regierungsrat des Kantons Basel-Landschaft aufzuerlegen. Dem Beschwerdeführer ist der geleistete Kostenvorschuss in der Höhe von Fr. 1'500.--zurückzuerstatten. 6.2 Im Übrigen beantragt der Beschwerdeführer sinngemäss eine nicht weiter begründete beziehungsweise bezifferte Parteientschädigung für einen Aufwand von 110 Stunden. Der ganz oder teilweise obsiegenden Partei kann gemäss § 21 Abs. 1 VPO für den Beizug eines Anwalts oder einer Anwältin eine angemessene Parteientschädigung zulasten der Gegenpartei zugesprochen werden. Da der Beschwerdeführer im vorliegenden Verfahren nicht anwaltlich vertreten ist, hat er keinen Anspruch auf Zusprechung einer Parteientschädigung. Die Parteikosten sind deshalb wettzuschlagen (§ 21 VPO). Demgemäss wird e r k a n n t : 1. Soweit auf die Beschwerde eingetreten werden kann, wird diese gutgeheissen und der Beschluss des Regierungsrats des Kantons Basel-Land-schaft Nr. 1633 vom 26. November 2024 aufgehoben. 2. Die Verfahrenskosten in der Höhe von Fr. 1'500.-- werden dem Regierungsrat des Kanton-Basel-Landschaft auferlegt. Dem Beschwerdeführer wird der geleistete Kostenvorschuss in der Höhe von Fr. 1'500.--zurückbezahlt.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